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B010" w14:textId="70ADF395" w:rsidR="00751BA7" w:rsidRPr="001E7259" w:rsidRDefault="006320FC" w:rsidP="001E72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E72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Just Energy Transition Partnership with</w:t>
      </w:r>
      <w:r w:rsidR="006F6153" w:rsidRPr="001E72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Senegal</w:t>
      </w:r>
    </w:p>
    <w:p w14:paraId="69419811" w14:textId="77777777" w:rsidR="009D4B2B" w:rsidRPr="001E7259" w:rsidRDefault="009D4B2B" w:rsidP="001E725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14:paraId="2183CB11" w14:textId="77777777" w:rsidR="001E7259" w:rsidRPr="001E7259" w:rsidRDefault="001E7259" w:rsidP="001E72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8C2CC31" w14:textId="5393136D" w:rsidR="00751BA7" w:rsidRPr="001E7259" w:rsidRDefault="008C05E2" w:rsidP="001E725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 Government of Senegal and the government</w:t>
      </w:r>
      <w:r w:rsidR="00F942C8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 of France, Germany</w:t>
      </w:r>
      <w:r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, the United Kingdom, </w:t>
      </w:r>
      <w:r w:rsidR="003A7B95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Canada, </w:t>
      </w:r>
      <w:r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and the European Union (the International Partners Group (IPG)),   </w:t>
      </w:r>
    </w:p>
    <w:p w14:paraId="378F56EE" w14:textId="77777777" w:rsidR="009D4B2B" w:rsidRPr="001E7259" w:rsidRDefault="009D4B2B" w:rsidP="001E7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2031C4" w14:textId="6572AF5F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Following the initiative of the European Union-African Union summit of February 18, 2022 proposing the establishment of new partnerships for a </w:t>
      </w:r>
      <w:r w:rsidR="006320F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just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energy transition in Africa, and the G7 summit in </w:t>
      </w:r>
      <w:proofErr w:type="spellStart"/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Elmau</w:t>
      </w:r>
      <w:proofErr w:type="spellEnd"/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from June 26 to 28, 2022 confirming the intention of Senegal and the G7 to move together in this direction, </w:t>
      </w:r>
    </w:p>
    <w:p w14:paraId="49536CEC" w14:textId="77777777" w:rsidR="009D4B2B" w:rsidRPr="001E7259" w:rsidRDefault="009D4B2B" w:rsidP="001E7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220E5B" w14:textId="7EA2901E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Committed to accelerating action to limit global warming to well below 2°C above pre-industrial levels and determined to continue efforts to limit it to 1.5°C, in order to avoid its most harmful effects and risks to societies and economies, which requires a </w:t>
      </w:r>
      <w:r w:rsidR="00E56CA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transition of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energy systems</w:t>
      </w:r>
      <w:r w:rsidR="008B117E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the global level</w:t>
      </w:r>
      <w:r w:rsidR="00F9757B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2E9CA9B" w14:textId="77777777" w:rsidR="00F16AE1" w:rsidRPr="001E7259" w:rsidRDefault="00F16AE1" w:rsidP="001E7259">
      <w:pPr>
        <w:pStyle w:val="Paragraphedeliste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7B0F39E" w14:textId="21C0E096" w:rsidR="003A7B95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Aware of the specific </w:t>
      </w:r>
      <w:r w:rsidR="00500FA9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global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challenges facing Senegal, </w:t>
      </w:r>
      <w:r w:rsidR="00B662C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including unemployment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B662C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access to electricity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its cost</w:t>
      </w:r>
      <w:r w:rsidR="00B662C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country being </w:t>
      </w:r>
      <w:r w:rsidR="00D73056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highly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exposed to the impacts of climate change while contributing </w:t>
      </w:r>
      <w:r w:rsidR="00D73056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marginally to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global greenhouse gas emissions, and committed to ensuring universal access to affordable electricity and developing </w:t>
      </w:r>
      <w:r w:rsidR="00553A8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its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industrial </w:t>
      </w:r>
      <w:r w:rsidR="00553A8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sector, in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line with </w:t>
      </w:r>
      <w:r w:rsidR="006320F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African Union's Agenda 2063,</w:t>
      </w:r>
    </w:p>
    <w:p w14:paraId="69E697EE" w14:textId="77777777" w:rsidR="003A7B95" w:rsidRPr="001E7259" w:rsidRDefault="003A7B95" w:rsidP="001E7259">
      <w:pPr>
        <w:pStyle w:val="Paragraphedeliste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ABE5474" w14:textId="59CEAFAE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Recognizing Senegal's leadership in climate action</w:t>
      </w:r>
      <w:r w:rsidR="008B117E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a strong political commitment to the rapid development of renewable energies following the publication of its nationally determined contribution (NDC) in 2020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09EE4A91" w14:textId="77777777" w:rsidR="00F16AE1" w:rsidRPr="001E7259" w:rsidRDefault="00F16AE1" w:rsidP="001E7259">
      <w:pPr>
        <w:pStyle w:val="Paragraphedeliste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2BA9832" w14:textId="4089248D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Recognizing that Senegal confirms its objective to develop and implement an ambitious energy strategy that will </w:t>
      </w:r>
      <w:r w:rsidR="007E0D9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provide universal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access to affordable electricity with quality and continuity of service, create new sustainable jobs and support the development of the economy on the basis of a diversified energy mix</w:t>
      </w:r>
      <w:r w:rsidR="006320F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20F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this,</w:t>
      </w:r>
      <w:r w:rsidR="00770A8E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1044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taking into account </w:t>
      </w:r>
      <w:r w:rsidR="002834B6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climate ambition </w:t>
      </w:r>
      <w:r w:rsidR="00F8026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the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countries </w:t>
      </w:r>
      <w:r w:rsidR="00F8026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party to this declaration</w:t>
      </w:r>
      <w:r w:rsidR="00770A8E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with the </w:t>
      </w:r>
      <w:r w:rsidR="009E6A9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aim of </w:t>
      </w:r>
      <w:r w:rsidR="00F8026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pursuing efforts to limit the increase in temperature to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1.</w:t>
      </w:r>
      <w:r w:rsidR="00770A8E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5°C and </w:t>
      </w:r>
      <w:r w:rsidR="009E6A9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compliance with the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commitments </w:t>
      </w:r>
      <w:r w:rsidR="00F8026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made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 COP26 in Glasgow</w:t>
      </w:r>
      <w:r w:rsidR="001938D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at COP27 in </w:t>
      </w:r>
      <w:proofErr w:type="spellStart"/>
      <w:r w:rsidR="001938D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Sharm</w:t>
      </w:r>
      <w:proofErr w:type="spellEnd"/>
      <w:r w:rsidR="001938D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-el-Sheikh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</w:p>
    <w:p w14:paraId="034C26B4" w14:textId="77777777" w:rsidR="009D4B2B" w:rsidRPr="001E7259" w:rsidRDefault="009D4B2B" w:rsidP="001E72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A97463" w14:textId="77777777" w:rsidR="001938D0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Considering the commitment of developed countries to provide financial support for developing countries' climate change mitigation and adaptation efforts and </w:t>
      </w:r>
      <w:r w:rsidR="008154B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recognizing that access to sustainable and concessional sources of finance from developed countries, multilateral institutions and investors is critical to the success of a just and equitable energy transition, </w:t>
      </w:r>
    </w:p>
    <w:p w14:paraId="69C51E3E" w14:textId="77777777" w:rsidR="006320FC" w:rsidRPr="001E7259" w:rsidRDefault="006320FC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168F401" w14:textId="2015046C" w:rsidR="00751BA7" w:rsidRPr="001E7259" w:rsidRDefault="001938D0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>Acknowledging</w:t>
      </w:r>
      <w:r w:rsidR="008C05E2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that as part of its strategy, Senegal intends to use its natural gas resources as a transitional energy </w:t>
      </w:r>
      <w:r w:rsidR="00923150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perspective of a </w:t>
      </w:r>
      <w:r w:rsidR="00A3304D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low-carbon and climate change resilient </w:t>
      </w:r>
      <w:r w:rsidR="00923150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socio-economic development </w:t>
      </w:r>
      <w:r w:rsidR="008C05E2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leading to a </w:t>
      </w:r>
      <w:r w:rsidR="0065010D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significant </w:t>
      </w:r>
      <w:r w:rsidR="008C05E2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>decrease in emissions compared to the baseline scenario (BAU) of the energy sector as defined in the 2020 NDC</w:t>
      </w:r>
      <w:r w:rsidR="00256371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through a </w:t>
      </w:r>
      <w:r w:rsidR="003A7B95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gradual </w:t>
      </w:r>
      <w:r w:rsidR="007B1E67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>phase-</w:t>
      </w:r>
      <w:r w:rsidR="00256371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>out of heavy fuel oils</w:t>
      </w:r>
      <w:r w:rsidR="007B1E67" w:rsidRPr="001E725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95DC115" w14:textId="77777777" w:rsidR="007F63D6" w:rsidRPr="001E7259" w:rsidRDefault="007F63D6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265B7D5" w14:textId="169D4E17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Following discussions with France and Germany mandated by the IPG, </w:t>
      </w:r>
      <w:r w:rsidR="006F6153" w:rsidRPr="001E7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decide to establish a Just Energy Transition Partnership (JETP)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aimed at </w:t>
      </w:r>
      <w:r w:rsidR="003C2E6B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supporting </w:t>
      </w:r>
      <w:r w:rsidR="003A044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accelerating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Senegal</w:t>
      </w:r>
      <w:r w:rsidR="003A044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's drive towards </w:t>
      </w:r>
      <w:r w:rsidR="00AD4AF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clean</w:t>
      </w:r>
      <w:r w:rsidR="00C307E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energy sources </w:t>
      </w:r>
      <w:r w:rsidR="00C307E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that </w:t>
      </w:r>
      <w:r w:rsidR="003A044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will enable </w:t>
      </w:r>
      <w:r w:rsidR="003C2E6B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inclusive and resilient development. </w:t>
      </w:r>
    </w:p>
    <w:p w14:paraId="0A5C7F14" w14:textId="77777777" w:rsidR="009D4B2B" w:rsidRPr="001E7259" w:rsidRDefault="009D4B2B" w:rsidP="001E7259">
      <w:pPr>
        <w:spacing w:after="0"/>
        <w:jc w:val="both"/>
        <w:rPr>
          <w:lang w:val="en-US"/>
        </w:rPr>
      </w:pPr>
    </w:p>
    <w:p w14:paraId="534A4EAE" w14:textId="64DB1ACC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With the </w:t>
      </w:r>
      <w:r w:rsidR="0058449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effective </w:t>
      </w:r>
      <w:r w:rsidR="009A044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support of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IPG, Senegal will </w:t>
      </w:r>
      <w:r w:rsidR="00065D6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</w:t>
      </w:r>
      <w:r w:rsidR="00BE4D0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k on, within the framework of this </w:t>
      </w:r>
      <w:r w:rsidR="00065D6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JETP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29C5AA9B" w14:textId="77777777" w:rsidR="000B6BDA" w:rsidRPr="001E7259" w:rsidRDefault="000B6BDA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E953A2B" w14:textId="40E7FBDE" w:rsidR="001938D0" w:rsidRPr="001E7259" w:rsidRDefault="008C05E2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1938D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development of a comprehensive climate change resilient strategy for the energy sector, to which an investment plan will be attached, consistent with the goal of limiting temperature increase to 1.5° C in line with the Paris Agreement and with the country’s goals of improving universal access to electricity, job creation and affordability. The strategy will include macroeconomic modeling of the most cost-effective low-carbon and climate-resilient pathways;</w:t>
      </w:r>
    </w:p>
    <w:p w14:paraId="77CB5A9C" w14:textId="77777777" w:rsidR="009A0441" w:rsidRPr="001E7259" w:rsidRDefault="009A0441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8E7A837" w14:textId="1EDDA39A" w:rsidR="000B6BDA" w:rsidRPr="001E7259" w:rsidRDefault="00D124B4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strengthening </w:t>
      </w:r>
      <w:r w:rsidR="00931FF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development of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renewable energy and all the infrastructure and technologies that will accelerate its deployment and use</w:t>
      </w:r>
      <w:r w:rsidR="00931FF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including improved s</w:t>
      </w:r>
      <w:r w:rsidR="0025637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torage and grid stabilization.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Through this ongoing effort, and </w:t>
      </w:r>
      <w:r w:rsidR="0025637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the mobilization of IPG financing</w:t>
      </w:r>
      <w:r w:rsidR="006E495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F942C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Senegal intends to increase the share of renewable energ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ies in installed capacity to</w:t>
      </w:r>
      <w:r w:rsidR="001E7259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40%</w:t>
      </w:r>
      <w:r w:rsidR="00F942C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its electricity mix by 2030</w:t>
      </w:r>
      <w:r w:rsidR="002030D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in coherence with</w:t>
      </w:r>
      <w:r w:rsidR="00385A8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studies </w:t>
      </w:r>
      <w:r w:rsidR="00C972DB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conducted under </w:t>
      </w:r>
      <w:r w:rsidR="0067368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Integrated Low </w:t>
      </w:r>
      <w:r w:rsidR="00FF6DF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Cost</w:t>
      </w:r>
      <w:r w:rsidR="006320F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Plan</w:t>
      </w:r>
      <w:r w:rsidR="002030D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Plan </w:t>
      </w:r>
      <w:proofErr w:type="spellStart"/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Intégré</w:t>
      </w:r>
      <w:proofErr w:type="spellEnd"/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à </w:t>
      </w:r>
      <w:proofErr w:type="spellStart"/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Moindre</w:t>
      </w:r>
      <w:proofErr w:type="spellEnd"/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Coût</w:t>
      </w:r>
      <w:proofErr w:type="spellEnd"/>
      <w:r w:rsidR="007B1E67" w:rsidRPr="001E72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2030D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PIMC)</w:t>
      </w:r>
      <w:r w:rsidR="0034044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0F862EFF" w14:textId="77777777" w:rsidR="000B6BDA" w:rsidRPr="001E7259" w:rsidRDefault="000B6BDA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31A230" w14:textId="2DC2E08E" w:rsidR="002030DD" w:rsidRPr="001E7259" w:rsidRDefault="00FF6DF0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="000B6BD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78167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proofErr w:type="gramEnd"/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307E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development of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its strategy of transitioning its </w:t>
      </w:r>
      <w:r w:rsidR="00C307E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electricity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mix </w:t>
      </w:r>
      <w:r w:rsidR="009876DB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 highly polluting fuels to clean</w:t>
      </w:r>
      <w:r w:rsidR="0025637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876DB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energies with a view to </w:t>
      </w:r>
      <w:r w:rsidR="00C307E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reducing </w:t>
      </w:r>
      <w:r w:rsidR="0092315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C307E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sector's </w:t>
      </w:r>
      <w:r w:rsidR="0092315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emissions.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985C9A4" w14:textId="77777777" w:rsidR="002030DD" w:rsidRPr="001E7259" w:rsidRDefault="002030DD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C0BBD1A" w14:textId="573A89A4" w:rsidR="009D4B2B" w:rsidRPr="001E7259" w:rsidRDefault="00F942C8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By COP28, a vision and roadmap for a long-term low greenhouse gas 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development strategy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(LTS)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be finalized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by 2024,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be submitted to the UNFCCC Secretariat to reflect Senegal's enhanced climate ambition and i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nform its next ambitious NDCs.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its Energy Sector Development Policy Letter (LPDSE) 2024-2028, Senegal will integrate the commitments made under t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his agreement.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By COP30, Senegal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in accordance with the Paris Agreement,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adopt a new NDC 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that will reflect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enhanced climate ambi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tion of its new energy strategy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B4B3436" w14:textId="77777777" w:rsidR="002030DD" w:rsidRPr="001E7259" w:rsidRDefault="002030DD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3AA184F" w14:textId="424638D8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Senegal will pay particular attention to innovation and technology integration with the support of the IPG, through the development of training and research </w:t>
      </w:r>
      <w:r w:rsidR="00DE5A1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B2A9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development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with the ambition of creating a regional hub. These efforts could include 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equipment manufacturing,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strengthening, stabilizing and modernizing the electricity </w:t>
      </w:r>
      <w:r w:rsidR="007B1E6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grid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throughout the country and continuing interconnections with other countries in the region, strengthening electricity storage capacities, improving energy efficiency and developing capacities to prepare for the production of green hydrogen.  </w:t>
      </w:r>
    </w:p>
    <w:p w14:paraId="1B147A90" w14:textId="77777777" w:rsidR="009D4B2B" w:rsidRPr="001E7259" w:rsidRDefault="009D4B2B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73665D" w14:textId="25B4B6AE" w:rsidR="00751BA7" w:rsidRPr="001E7259" w:rsidRDefault="008C05E2" w:rsidP="001E7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Under </w:t>
      </w:r>
      <w:r w:rsidR="0078167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this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JETP, </w:t>
      </w:r>
      <w:r w:rsidR="007D05C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IPG will </w:t>
      </w:r>
      <w:r w:rsidR="007F19E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significantly </w:t>
      </w:r>
      <w:r w:rsidR="007D05CF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support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Senegal in implementing its renewed climate ambition as defined in its </w:t>
      </w:r>
      <w:r w:rsidR="00B4398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long-term low greenhouse gas development strategy (LTS) and its</w:t>
      </w:r>
      <w:r w:rsidR="0078167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updated </w:t>
      </w:r>
      <w:r w:rsidR="000429F9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nationally determined contribution (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NDC</w:t>
      </w:r>
      <w:r w:rsidR="000429F9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3639B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14:paraId="3E9B8479" w14:textId="585023E1" w:rsidR="00751BA7" w:rsidRPr="001E7259" w:rsidRDefault="008C05E2" w:rsidP="001E7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further </w:t>
      </w:r>
      <w:r w:rsidR="00DE5A1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accelerate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development of renewable energy,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42C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including reg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ional interconnection projects,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IPG members will mobilize a variety of support tools, including grants</w:t>
      </w:r>
      <w:r w:rsidR="0078167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subsidies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concessional loans, guarantees, export credits and technical assistance. This support, 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addition to existing efforts, will aim to support Senegal's ambitions, including training and research, technology transfer, expansion and modernization of the electricity grid, </w:t>
      </w:r>
      <w:r w:rsidR="0078167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 well as the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development of storage capacity, which require significant public 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private 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investment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7B1E6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4CC4B98C" w14:textId="77777777" w:rsidR="00FD7373" w:rsidRPr="001E7259" w:rsidRDefault="00FD7373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  <w:lang w:val="en-US"/>
        </w:rPr>
      </w:pPr>
    </w:p>
    <w:p w14:paraId="2E548835" w14:textId="45CDDA6B" w:rsidR="00256371" w:rsidRPr="001E7259" w:rsidRDefault="00256371" w:rsidP="001E7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further develop Senegal's energy strategy referred to in point 9, IPG members will mobilize bilateral and multilateral support tools, including modeling, capacity building, awareness raising, and clean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competitive and proven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technology transfer; </w:t>
      </w:r>
    </w:p>
    <w:p w14:paraId="5B362FCE" w14:textId="77777777" w:rsidR="00F942C8" w:rsidRPr="001E7259" w:rsidRDefault="00F942C8" w:rsidP="001E7259">
      <w:pPr>
        <w:pStyle w:val="Paragraphedeliste"/>
        <w:spacing w:after="0"/>
        <w:rPr>
          <w:color w:val="000000"/>
          <w:sz w:val="24"/>
          <w:szCs w:val="24"/>
          <w:lang w:val="en-US"/>
        </w:rPr>
      </w:pPr>
    </w:p>
    <w:p w14:paraId="21E7F888" w14:textId="157D5DA3" w:rsidR="00F942C8" w:rsidRPr="001E7259" w:rsidRDefault="00F942C8" w:rsidP="001E7259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IPG members are also committed to supporting the search for funding and expertise from multilateral development banks</w:t>
      </w:r>
      <w:r w:rsidR="007B1E6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private sector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sovereign wealth funds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philanthropic foundations, </w:t>
      </w:r>
      <w:r w:rsidR="000A508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whic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 the potential is significant,</w:t>
      </w:r>
      <w:r w:rsidR="000A508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coherence with the investment plan referred to in point 9;</w:t>
      </w:r>
    </w:p>
    <w:p w14:paraId="0E92BC75" w14:textId="77777777" w:rsidR="00256371" w:rsidRPr="001E7259" w:rsidRDefault="00256371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lang w:val="en-US"/>
        </w:rPr>
      </w:pPr>
    </w:p>
    <w:p w14:paraId="50026F75" w14:textId="45E4AEA6" w:rsidR="00256371" w:rsidRPr="001E7259" w:rsidRDefault="00256371" w:rsidP="001E7259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IPG members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multilateral development banks</w:t>
      </w:r>
      <w:r w:rsidR="00AF6054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aware of the need for a long-term cooperation and partnership,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mobilize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for an initial period of 3 to 5 years from 2023,</w:t>
      </w: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942C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.5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billion euros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new and additional financing.</w:t>
      </w:r>
      <w:r w:rsidR="00AF6054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Additional funding may be mobilized during and beyond this period to support Senegal's ambitions as described </w:t>
      </w:r>
      <w:r w:rsidR="007B1E6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point 9 above;</w:t>
      </w:r>
    </w:p>
    <w:p w14:paraId="6947C845" w14:textId="77777777" w:rsidR="00256371" w:rsidRPr="001E7259" w:rsidRDefault="00256371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35E049" w14:textId="06600A8F" w:rsidR="00751BA7" w:rsidRPr="001E7259" w:rsidRDefault="00E04420" w:rsidP="001E72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lang w:val="en-US"/>
        </w:rPr>
      </w:pPr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ensure that this transition is fair, equitable and inclusive, so that no one is left behind, and that people can benefit from the opportunities offered by </w:t>
      </w:r>
      <w:r w:rsidR="0069799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energy transition </w:t>
      </w:r>
      <w:r w:rsidR="009724F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the </w:t>
      </w:r>
      <w:r w:rsidR="0069799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context of </w:t>
      </w:r>
      <w:r w:rsidR="009875A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environmentally sound </w:t>
      </w:r>
      <w:r w:rsidR="0069799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sustainable </w:t>
      </w:r>
      <w:r w:rsidR="009875A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exploitation and management of natural resources </w:t>
      </w:r>
      <w:r w:rsidR="008C767C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necessary for the development of clean energy</w:t>
      </w:r>
      <w:r w:rsidR="0069799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0B5267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6F615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affordable and reliable access to electricity for all.</w:t>
      </w:r>
    </w:p>
    <w:p w14:paraId="71568142" w14:textId="77777777" w:rsidR="009D4B2B" w:rsidRPr="001E7259" w:rsidRDefault="009D4B2B" w:rsidP="001E72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EA318E" w14:textId="247C46BC" w:rsidR="00751BA7" w:rsidRPr="001E7259" w:rsidRDefault="00BE4D00" w:rsidP="001E7259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bookmarkStart w:id="1" w:name="_gjdgxs" w:colFirst="0" w:colLast="0"/>
      <w:bookmarkEnd w:id="1"/>
      <w:r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Senegal and the IPG decide</w:t>
      </w:r>
      <w:r w:rsidR="008C05E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to create a working group composed of relevant Senegalese </w:t>
      </w:r>
      <w:r w:rsidR="00256371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representatives </w:t>
      </w:r>
      <w:r w:rsidR="008C05E2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IPG representatives </w:t>
      </w:r>
      <w:r w:rsidR="00D64A1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that will meet regularly to 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implement this partnership</w:t>
      </w:r>
      <w:r w:rsidR="00D64A1D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This working group will be supported by a technical secretariat that will be established w</w:t>
      </w:r>
      <w:r w:rsidR="003A7B95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ithin 4</w:t>
      </w:r>
      <w:r w:rsidR="00F942C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months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An investment plan will be prepared to id</w:t>
      </w:r>
      <w:r w:rsidR="00664F6A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entify the investments required, the appropriate financing plan 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the opportunities to implement thi</w:t>
      </w:r>
      <w:r w:rsidR="00F942C8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just transition, within 12 months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This process, under the leadership of the Government of Senegal, with administrative and technical support from the Secretariat, will clarify </w:t>
      </w:r>
      <w:r w:rsidR="00AF6510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</w:t>
      </w:r>
      <w:r w:rsidR="00FD7373" w:rsidRPr="001E72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projects will be funded by Senegal and international partners to achieve the common goals.</w:t>
      </w:r>
    </w:p>
    <w:sectPr w:rsidR="00751BA7" w:rsidRPr="001E7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389F7" w16cex:dateUtc="2022-10-26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5ABD51" w16cid:durableId="270389F7"/>
  <w16cid:commentId w16cid:paraId="1235BCFC" w16cid:durableId="270387E0"/>
  <w16cid:commentId w16cid:paraId="41D123AE" w16cid:durableId="270387E1"/>
  <w16cid:commentId w16cid:paraId="7F0B1324" w16cid:durableId="270387E5"/>
  <w16cid:commentId w16cid:paraId="53A4AFC7" w16cid:durableId="270387E9"/>
  <w16cid:commentId w16cid:paraId="755CBA89" w16cid:durableId="270387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1BE32" w14:textId="77777777" w:rsidR="00DA3925" w:rsidRDefault="00DA3925">
      <w:pPr>
        <w:spacing w:after="0" w:line="240" w:lineRule="auto"/>
      </w:pPr>
      <w:r>
        <w:separator/>
      </w:r>
    </w:p>
  </w:endnote>
  <w:endnote w:type="continuationSeparator" w:id="0">
    <w:p w14:paraId="00A1A0AF" w14:textId="77777777" w:rsidR="00DA3925" w:rsidRDefault="00DA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B9F02" w14:textId="77777777" w:rsidR="009D4B2B" w:rsidRDefault="009D4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FB0B8" w14:textId="77777777" w:rsidR="009D4B2B" w:rsidRDefault="009D4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F9C17" w14:textId="77777777" w:rsidR="009D4B2B" w:rsidRDefault="009D4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0FEF0" w14:textId="77777777" w:rsidR="00DA3925" w:rsidRDefault="00DA3925">
      <w:pPr>
        <w:spacing w:after="0" w:line="240" w:lineRule="auto"/>
      </w:pPr>
      <w:r>
        <w:separator/>
      </w:r>
    </w:p>
  </w:footnote>
  <w:footnote w:type="continuationSeparator" w:id="0">
    <w:p w14:paraId="6F511C51" w14:textId="77777777" w:rsidR="00DA3925" w:rsidRDefault="00DA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1E442" w14:textId="77777777" w:rsidR="009D4B2B" w:rsidRDefault="009D4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33D4F" w14:textId="5E73E068" w:rsidR="00781675" w:rsidRDefault="001E7259" w:rsidP="007816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22</w:t>
    </w:r>
    <w:r w:rsidR="00F942C8">
      <w:rPr>
        <w:color w:val="000000"/>
      </w:rPr>
      <w:t>/06</w:t>
    </w:r>
    <w:r>
      <w:rPr>
        <w:color w:val="000000"/>
      </w:rPr>
      <w:t>/2023</w:t>
    </w:r>
  </w:p>
  <w:p w14:paraId="257E6548" w14:textId="1D9177F7" w:rsidR="00751BA7" w:rsidRPr="00131041" w:rsidRDefault="00751BA7" w:rsidP="0013104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9014" w14:textId="77777777" w:rsidR="009D4B2B" w:rsidRDefault="009D4B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CB8"/>
    <w:multiLevelType w:val="multilevel"/>
    <w:tmpl w:val="7D6034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235047"/>
    <w:multiLevelType w:val="hybridMultilevel"/>
    <w:tmpl w:val="75C0CC14"/>
    <w:lvl w:ilvl="0" w:tplc="1B24BE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61743"/>
    <w:multiLevelType w:val="multilevel"/>
    <w:tmpl w:val="57F6E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E640F"/>
    <w:multiLevelType w:val="multilevel"/>
    <w:tmpl w:val="A3D0E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60F3"/>
    <w:multiLevelType w:val="hybridMultilevel"/>
    <w:tmpl w:val="8B025B1E"/>
    <w:lvl w:ilvl="0" w:tplc="D95C5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C5997"/>
    <w:multiLevelType w:val="multilevel"/>
    <w:tmpl w:val="97507C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0066720"/>
    <w:multiLevelType w:val="multilevel"/>
    <w:tmpl w:val="042C88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875B5"/>
    <w:multiLevelType w:val="multilevel"/>
    <w:tmpl w:val="EACAC53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2B"/>
    <w:rsid w:val="00022EA6"/>
    <w:rsid w:val="000429F9"/>
    <w:rsid w:val="00065D65"/>
    <w:rsid w:val="0007135E"/>
    <w:rsid w:val="00071EE8"/>
    <w:rsid w:val="000836AE"/>
    <w:rsid w:val="00090441"/>
    <w:rsid w:val="00091D34"/>
    <w:rsid w:val="000947E6"/>
    <w:rsid w:val="000A3AB3"/>
    <w:rsid w:val="000A508D"/>
    <w:rsid w:val="000A6EB7"/>
    <w:rsid w:val="000B1683"/>
    <w:rsid w:val="000B5267"/>
    <w:rsid w:val="000B6BDA"/>
    <w:rsid w:val="000C0891"/>
    <w:rsid w:val="000C431B"/>
    <w:rsid w:val="000F3DD8"/>
    <w:rsid w:val="00103C93"/>
    <w:rsid w:val="00117D76"/>
    <w:rsid w:val="001267DB"/>
    <w:rsid w:val="00131041"/>
    <w:rsid w:val="00152A70"/>
    <w:rsid w:val="001554D3"/>
    <w:rsid w:val="00164285"/>
    <w:rsid w:val="0016617C"/>
    <w:rsid w:val="00166865"/>
    <w:rsid w:val="00191C13"/>
    <w:rsid w:val="00191EA2"/>
    <w:rsid w:val="001938D0"/>
    <w:rsid w:val="00194F55"/>
    <w:rsid w:val="001B1356"/>
    <w:rsid w:val="001C4026"/>
    <w:rsid w:val="001E1DB5"/>
    <w:rsid w:val="001E7259"/>
    <w:rsid w:val="001F162E"/>
    <w:rsid w:val="0020107E"/>
    <w:rsid w:val="002030DD"/>
    <w:rsid w:val="00221196"/>
    <w:rsid w:val="00240364"/>
    <w:rsid w:val="00253BCA"/>
    <w:rsid w:val="00256371"/>
    <w:rsid w:val="00275EBD"/>
    <w:rsid w:val="002834B6"/>
    <w:rsid w:val="00291C9C"/>
    <w:rsid w:val="00296BCE"/>
    <w:rsid w:val="002A17FD"/>
    <w:rsid w:val="002C328B"/>
    <w:rsid w:val="002D412B"/>
    <w:rsid w:val="002D612A"/>
    <w:rsid w:val="002E0C6C"/>
    <w:rsid w:val="003038D2"/>
    <w:rsid w:val="00304E2A"/>
    <w:rsid w:val="003158CA"/>
    <w:rsid w:val="00322341"/>
    <w:rsid w:val="003354CC"/>
    <w:rsid w:val="0034044C"/>
    <w:rsid w:val="003639B7"/>
    <w:rsid w:val="00375168"/>
    <w:rsid w:val="00381DB1"/>
    <w:rsid w:val="00385A8C"/>
    <w:rsid w:val="00386B1C"/>
    <w:rsid w:val="00390615"/>
    <w:rsid w:val="003A0443"/>
    <w:rsid w:val="003A38B7"/>
    <w:rsid w:val="003A716C"/>
    <w:rsid w:val="003A7B95"/>
    <w:rsid w:val="003C0EC9"/>
    <w:rsid w:val="003C2E6B"/>
    <w:rsid w:val="003D0F4A"/>
    <w:rsid w:val="003D6075"/>
    <w:rsid w:val="003E1563"/>
    <w:rsid w:val="003E45BF"/>
    <w:rsid w:val="003F32A8"/>
    <w:rsid w:val="004260E3"/>
    <w:rsid w:val="0043094C"/>
    <w:rsid w:val="004504F4"/>
    <w:rsid w:val="004532E8"/>
    <w:rsid w:val="00455104"/>
    <w:rsid w:val="004B2434"/>
    <w:rsid w:val="004B367E"/>
    <w:rsid w:val="004B4943"/>
    <w:rsid w:val="004C231F"/>
    <w:rsid w:val="004E1992"/>
    <w:rsid w:val="004F56E4"/>
    <w:rsid w:val="00500202"/>
    <w:rsid w:val="00500FA9"/>
    <w:rsid w:val="00501094"/>
    <w:rsid w:val="0051182A"/>
    <w:rsid w:val="005305BC"/>
    <w:rsid w:val="00532ADD"/>
    <w:rsid w:val="0054001E"/>
    <w:rsid w:val="00540EE0"/>
    <w:rsid w:val="005430A3"/>
    <w:rsid w:val="00544BB2"/>
    <w:rsid w:val="00553A8C"/>
    <w:rsid w:val="00564EFB"/>
    <w:rsid w:val="00575645"/>
    <w:rsid w:val="00580F4D"/>
    <w:rsid w:val="0058358A"/>
    <w:rsid w:val="00584490"/>
    <w:rsid w:val="00596D1F"/>
    <w:rsid w:val="005B2471"/>
    <w:rsid w:val="005B2FE4"/>
    <w:rsid w:val="005B3C17"/>
    <w:rsid w:val="005C2D9F"/>
    <w:rsid w:val="005E02FC"/>
    <w:rsid w:val="005E3922"/>
    <w:rsid w:val="00603592"/>
    <w:rsid w:val="00606B44"/>
    <w:rsid w:val="00611994"/>
    <w:rsid w:val="0061243F"/>
    <w:rsid w:val="00625406"/>
    <w:rsid w:val="00625B6A"/>
    <w:rsid w:val="006320FC"/>
    <w:rsid w:val="00635715"/>
    <w:rsid w:val="00635827"/>
    <w:rsid w:val="0065010D"/>
    <w:rsid w:val="00651177"/>
    <w:rsid w:val="00663A21"/>
    <w:rsid w:val="00664F6A"/>
    <w:rsid w:val="0067368A"/>
    <w:rsid w:val="00696F7B"/>
    <w:rsid w:val="00697992"/>
    <w:rsid w:val="006B07E8"/>
    <w:rsid w:val="006B2A9F"/>
    <w:rsid w:val="006C1D92"/>
    <w:rsid w:val="006C435E"/>
    <w:rsid w:val="006D7B56"/>
    <w:rsid w:val="006E4950"/>
    <w:rsid w:val="006F6153"/>
    <w:rsid w:val="007029FA"/>
    <w:rsid w:val="00705223"/>
    <w:rsid w:val="0071562D"/>
    <w:rsid w:val="00751782"/>
    <w:rsid w:val="00751BA7"/>
    <w:rsid w:val="00770A8E"/>
    <w:rsid w:val="00774F14"/>
    <w:rsid w:val="00777F8A"/>
    <w:rsid w:val="00781675"/>
    <w:rsid w:val="007829A8"/>
    <w:rsid w:val="00791DFE"/>
    <w:rsid w:val="00797633"/>
    <w:rsid w:val="007B1743"/>
    <w:rsid w:val="007B1E67"/>
    <w:rsid w:val="007B3151"/>
    <w:rsid w:val="007D05CF"/>
    <w:rsid w:val="007E0D9A"/>
    <w:rsid w:val="007E2039"/>
    <w:rsid w:val="007E520E"/>
    <w:rsid w:val="007F19E7"/>
    <w:rsid w:val="007F2655"/>
    <w:rsid w:val="007F63D6"/>
    <w:rsid w:val="008000A1"/>
    <w:rsid w:val="008053B0"/>
    <w:rsid w:val="00812E8D"/>
    <w:rsid w:val="00813212"/>
    <w:rsid w:val="00814B30"/>
    <w:rsid w:val="008150CB"/>
    <w:rsid w:val="008154B7"/>
    <w:rsid w:val="0084097A"/>
    <w:rsid w:val="00842C00"/>
    <w:rsid w:val="00873F63"/>
    <w:rsid w:val="00886679"/>
    <w:rsid w:val="00886DFA"/>
    <w:rsid w:val="008B117E"/>
    <w:rsid w:val="008C05E2"/>
    <w:rsid w:val="008C54DC"/>
    <w:rsid w:val="008C767C"/>
    <w:rsid w:val="008D05F6"/>
    <w:rsid w:val="008E7D5A"/>
    <w:rsid w:val="008F64DB"/>
    <w:rsid w:val="00917A37"/>
    <w:rsid w:val="00923150"/>
    <w:rsid w:val="00931FF1"/>
    <w:rsid w:val="00935D15"/>
    <w:rsid w:val="00943095"/>
    <w:rsid w:val="00943FF9"/>
    <w:rsid w:val="0095061C"/>
    <w:rsid w:val="009724F8"/>
    <w:rsid w:val="009875A2"/>
    <w:rsid w:val="009876DB"/>
    <w:rsid w:val="00994468"/>
    <w:rsid w:val="009A0441"/>
    <w:rsid w:val="009D1FDB"/>
    <w:rsid w:val="009D4B2B"/>
    <w:rsid w:val="009E3FBC"/>
    <w:rsid w:val="009E6A9C"/>
    <w:rsid w:val="009F5BB0"/>
    <w:rsid w:val="00A27B1A"/>
    <w:rsid w:val="00A3304D"/>
    <w:rsid w:val="00A44DBE"/>
    <w:rsid w:val="00AA3CE9"/>
    <w:rsid w:val="00AA435E"/>
    <w:rsid w:val="00AC2407"/>
    <w:rsid w:val="00AC477B"/>
    <w:rsid w:val="00AD4AFC"/>
    <w:rsid w:val="00AF6054"/>
    <w:rsid w:val="00AF6510"/>
    <w:rsid w:val="00B04274"/>
    <w:rsid w:val="00B05A3E"/>
    <w:rsid w:val="00B06B51"/>
    <w:rsid w:val="00B1596F"/>
    <w:rsid w:val="00B405E9"/>
    <w:rsid w:val="00B415EA"/>
    <w:rsid w:val="00B4398A"/>
    <w:rsid w:val="00B662C5"/>
    <w:rsid w:val="00B72980"/>
    <w:rsid w:val="00B84633"/>
    <w:rsid w:val="00B92F78"/>
    <w:rsid w:val="00B9577E"/>
    <w:rsid w:val="00BA1F29"/>
    <w:rsid w:val="00BE085B"/>
    <w:rsid w:val="00BE3B86"/>
    <w:rsid w:val="00BE4D00"/>
    <w:rsid w:val="00BF4C07"/>
    <w:rsid w:val="00C1278C"/>
    <w:rsid w:val="00C14A85"/>
    <w:rsid w:val="00C307ED"/>
    <w:rsid w:val="00C46C7C"/>
    <w:rsid w:val="00C47364"/>
    <w:rsid w:val="00C87AD2"/>
    <w:rsid w:val="00C903EA"/>
    <w:rsid w:val="00C972DB"/>
    <w:rsid w:val="00CA788E"/>
    <w:rsid w:val="00CB2199"/>
    <w:rsid w:val="00CB7B5E"/>
    <w:rsid w:val="00CD7DF2"/>
    <w:rsid w:val="00CE5914"/>
    <w:rsid w:val="00D10445"/>
    <w:rsid w:val="00D124B4"/>
    <w:rsid w:val="00D33478"/>
    <w:rsid w:val="00D53586"/>
    <w:rsid w:val="00D55CFC"/>
    <w:rsid w:val="00D646AB"/>
    <w:rsid w:val="00D64A1D"/>
    <w:rsid w:val="00D674FA"/>
    <w:rsid w:val="00D73056"/>
    <w:rsid w:val="00D82574"/>
    <w:rsid w:val="00D82E6D"/>
    <w:rsid w:val="00D852B8"/>
    <w:rsid w:val="00DA13A0"/>
    <w:rsid w:val="00DA3925"/>
    <w:rsid w:val="00DA4D6D"/>
    <w:rsid w:val="00DE2157"/>
    <w:rsid w:val="00DE5A12"/>
    <w:rsid w:val="00DF050A"/>
    <w:rsid w:val="00E04420"/>
    <w:rsid w:val="00E0654C"/>
    <w:rsid w:val="00E35362"/>
    <w:rsid w:val="00E46975"/>
    <w:rsid w:val="00E506AD"/>
    <w:rsid w:val="00E52722"/>
    <w:rsid w:val="00E56CA7"/>
    <w:rsid w:val="00E56EE6"/>
    <w:rsid w:val="00E725DE"/>
    <w:rsid w:val="00EA1245"/>
    <w:rsid w:val="00EC6690"/>
    <w:rsid w:val="00ED46C7"/>
    <w:rsid w:val="00EF55A8"/>
    <w:rsid w:val="00F16AE1"/>
    <w:rsid w:val="00F261F1"/>
    <w:rsid w:val="00F463D8"/>
    <w:rsid w:val="00F52089"/>
    <w:rsid w:val="00F5611D"/>
    <w:rsid w:val="00F56B10"/>
    <w:rsid w:val="00F622CF"/>
    <w:rsid w:val="00F8026F"/>
    <w:rsid w:val="00F91884"/>
    <w:rsid w:val="00F9414E"/>
    <w:rsid w:val="00F942C8"/>
    <w:rsid w:val="00F9757B"/>
    <w:rsid w:val="00FB79EF"/>
    <w:rsid w:val="00FB7B43"/>
    <w:rsid w:val="00FC707F"/>
    <w:rsid w:val="00FD11B5"/>
    <w:rsid w:val="00FD737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7264"/>
  <w15:docId w15:val="{CB4A918B-EF9D-4D2D-B84D-4665F994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812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2E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2E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2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2E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E8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154B7"/>
    <w:pPr>
      <w:ind w:left="720"/>
      <w:contextualSpacing/>
    </w:pPr>
  </w:style>
  <w:style w:type="paragraph" w:styleId="Rvision">
    <w:name w:val="Revision"/>
    <w:hidden/>
    <w:uiPriority w:val="99"/>
    <w:semiHidden/>
    <w:rsid w:val="00B9577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131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1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41A39-4693-44A1-B589-2D60B44F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SALVAIRE Paul</dc:creator>
  <cp:keywords>, docId:6697E9FAEECE17D4A958C596B90ECA61</cp:keywords>
  <cp:lastModifiedBy>SALVAIRE Paul</cp:lastModifiedBy>
  <cp:revision>2</cp:revision>
  <dcterms:created xsi:type="dcterms:W3CDTF">2023-06-22T06:54:00Z</dcterms:created>
  <dcterms:modified xsi:type="dcterms:W3CDTF">2023-06-22T06:54:00Z</dcterms:modified>
</cp:coreProperties>
</file>